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0996" w14:textId="7DE2FD82" w:rsidR="008C5ACD" w:rsidRDefault="008C5ACD" w:rsidP="008C5ACD">
      <w:pPr>
        <w:widowControl w:val="0"/>
        <w:autoSpaceDE w:val="0"/>
        <w:autoSpaceDN w:val="0"/>
        <w:spacing w:before="90"/>
        <w:ind w:left="1349" w:right="1339"/>
        <w:jc w:val="center"/>
        <w:outlineLvl w:val="0"/>
        <w:rPr>
          <w:b/>
          <w:bCs/>
          <w:lang w:val="pt-PT"/>
        </w:rPr>
      </w:pPr>
      <w:r w:rsidRPr="00761B91">
        <w:rPr>
          <w:b/>
          <w:bCs/>
          <w:lang w:val="pt-PT"/>
        </w:rPr>
        <w:t>PORTARIA</w:t>
      </w:r>
      <w:r w:rsidRPr="00761B91">
        <w:rPr>
          <w:b/>
          <w:bCs/>
          <w:spacing w:val="-2"/>
          <w:lang w:val="pt-PT"/>
        </w:rPr>
        <w:t xml:space="preserve"> </w:t>
      </w:r>
      <w:r w:rsidRPr="00761B91">
        <w:rPr>
          <w:b/>
          <w:bCs/>
          <w:lang w:val="pt-PT"/>
        </w:rPr>
        <w:t>N.º</w:t>
      </w:r>
      <w:r>
        <w:rPr>
          <w:b/>
          <w:bCs/>
          <w:lang w:val="pt-PT"/>
        </w:rPr>
        <w:t xml:space="preserve"> 249</w:t>
      </w:r>
      <w:r w:rsidRPr="00761B91">
        <w:rPr>
          <w:b/>
          <w:bCs/>
          <w:lang w:val="pt-PT"/>
        </w:rPr>
        <w:t xml:space="preserve">, </w:t>
      </w:r>
      <w:r>
        <w:rPr>
          <w:b/>
          <w:bCs/>
          <w:lang w:val="pt-PT"/>
        </w:rPr>
        <w:t>DE 01 DE JUNHO DE 2026.</w:t>
      </w:r>
    </w:p>
    <w:p w14:paraId="0A02045A" w14:textId="77777777" w:rsidR="00584FA0" w:rsidRDefault="00584FA0" w:rsidP="00584FA0">
      <w:pPr>
        <w:widowControl w:val="0"/>
        <w:autoSpaceDE w:val="0"/>
        <w:autoSpaceDN w:val="0"/>
        <w:spacing w:before="90"/>
        <w:ind w:left="1349" w:right="1339" w:hanging="1349"/>
        <w:outlineLvl w:val="0"/>
        <w:rPr>
          <w:sz w:val="16"/>
          <w:szCs w:val="16"/>
        </w:rPr>
      </w:pPr>
    </w:p>
    <w:p w14:paraId="195F2D3A" w14:textId="7A1EC895" w:rsidR="00584FA0" w:rsidRDefault="00584FA0" w:rsidP="00584FA0">
      <w:pPr>
        <w:widowControl w:val="0"/>
        <w:autoSpaceDE w:val="0"/>
        <w:autoSpaceDN w:val="0"/>
        <w:spacing w:before="90"/>
        <w:ind w:left="1349" w:right="1339" w:hanging="1349"/>
        <w:outlineLvl w:val="0"/>
        <w:rPr>
          <w:b/>
          <w:bCs/>
          <w:lang w:val="pt-PT"/>
        </w:rPr>
      </w:pPr>
      <w:r>
        <w:rPr>
          <w:sz w:val="16"/>
          <w:szCs w:val="16"/>
        </w:rPr>
        <w:t>Diário Oficial de Contas do TCE/MT nº 3884-09/06/2026</w:t>
      </w:r>
    </w:p>
    <w:p w14:paraId="16C46204" w14:textId="77777777" w:rsidR="008C48CD" w:rsidRPr="005F61B3" w:rsidRDefault="008C48CD">
      <w:pPr>
        <w:tabs>
          <w:tab w:val="left" w:pos="2340"/>
        </w:tabs>
        <w:jc w:val="both"/>
        <w:rPr>
          <w:caps/>
          <w:color w:val="000000"/>
          <w14:shadow w14:blurRad="50800" w14:dist="38100" w14:dir="2700000" w14:sx="100000" w14:sy="100000" w14:kx="0" w14:ky="0" w14:algn="tl">
            <w14:srgbClr w14:val="000000">
              <w14:alpha w14:val="60000"/>
            </w14:srgbClr>
          </w14:shadow>
        </w:rPr>
      </w:pPr>
    </w:p>
    <w:p w14:paraId="06F0E73B" w14:textId="6BAA6E20" w:rsidR="008C48CD" w:rsidRDefault="00F866E1">
      <w:pPr>
        <w:ind w:left="4500"/>
        <w:jc w:val="both"/>
      </w:pPr>
      <w:r>
        <w:t>“Atribui aos Controladores Internos da Unidade de Coordenação do Controle Interno – UCCI a competência para o acompanhamento do Protocolo Virtual – TCE/MT</w:t>
      </w:r>
      <w:r w:rsidR="005E7649">
        <w:t xml:space="preserve"> – PCE Juris</w:t>
      </w:r>
      <w:r>
        <w:t>, de forma individual ou em conjunto, e dá outras providências”.</w:t>
      </w:r>
    </w:p>
    <w:p w14:paraId="62E3899D" w14:textId="77777777" w:rsidR="008C48CD" w:rsidRDefault="008C48CD">
      <w:pPr>
        <w:tabs>
          <w:tab w:val="left" w:pos="2835"/>
        </w:tabs>
        <w:jc w:val="both"/>
      </w:pPr>
    </w:p>
    <w:p w14:paraId="4CFE0BFD" w14:textId="2399983D" w:rsidR="005E7649" w:rsidRDefault="005E7649" w:rsidP="005E7649">
      <w:pPr>
        <w:widowControl w:val="0"/>
        <w:autoSpaceDE w:val="0"/>
        <w:autoSpaceDN w:val="0"/>
        <w:ind w:firstLine="1701"/>
        <w:jc w:val="both"/>
      </w:pPr>
      <w:r>
        <w:t>O SECRETÁRIO MUNICIPAL DE ADMINISTRAÇÃO DE ALTO ARAGUAIA, Estado de Mato Grosso, no uso de suas atribuições legais, com fulcro no Art. 1º do Decreto Municipal nº 003, de 02 de janeiro de 2025;</w:t>
      </w:r>
    </w:p>
    <w:p w14:paraId="38A6EF0F" w14:textId="491EBF27" w:rsidR="008C48CD" w:rsidRDefault="008C48CD" w:rsidP="005E7649">
      <w:pPr>
        <w:tabs>
          <w:tab w:val="left" w:pos="1620"/>
        </w:tabs>
        <w:jc w:val="both"/>
      </w:pPr>
    </w:p>
    <w:p w14:paraId="772DF67A" w14:textId="77777777" w:rsidR="008C48CD" w:rsidRDefault="00F866E1">
      <w:pPr>
        <w:tabs>
          <w:tab w:val="left" w:pos="2835"/>
        </w:tabs>
        <w:jc w:val="center"/>
      </w:pPr>
      <w:r>
        <w:t>RESOLVE:</w:t>
      </w:r>
    </w:p>
    <w:p w14:paraId="395592F8" w14:textId="77777777" w:rsidR="008C48CD" w:rsidRDefault="008C48CD">
      <w:pPr>
        <w:tabs>
          <w:tab w:val="left" w:pos="2835"/>
        </w:tabs>
        <w:jc w:val="both"/>
      </w:pPr>
    </w:p>
    <w:p w14:paraId="22F3F642" w14:textId="0E16F0A9" w:rsidR="008C48CD" w:rsidRDefault="00F866E1">
      <w:pPr>
        <w:tabs>
          <w:tab w:val="left" w:pos="1620"/>
          <w:tab w:val="left" w:pos="2835"/>
        </w:tabs>
        <w:ind w:firstLine="1620"/>
        <w:jc w:val="both"/>
      </w:pPr>
      <w:r>
        <w:t>Art. 1º Fica atribuída aos Controladores Internos da Unidade de Coordenação do Controle Interno – UCCI a competência para o acompanhamento do Protocolo Virtual – TCE/MT</w:t>
      </w:r>
      <w:r w:rsidR="005E7649">
        <w:t xml:space="preserve"> – PCE Juris (Processo de Contas Eletrônico)</w:t>
      </w:r>
      <w:r>
        <w:t>, podendo o exercício dessas atribuições ser realizado de forma individual ou em conjunto por qualquer dos Controladores Internos integrantes da referida Unidade.</w:t>
      </w:r>
    </w:p>
    <w:p w14:paraId="043B045E" w14:textId="77777777" w:rsidR="008C48CD" w:rsidRDefault="008C48CD">
      <w:pPr>
        <w:tabs>
          <w:tab w:val="left" w:pos="1620"/>
          <w:tab w:val="left" w:pos="2835"/>
        </w:tabs>
        <w:ind w:firstLine="1620"/>
        <w:jc w:val="both"/>
      </w:pPr>
    </w:p>
    <w:p w14:paraId="67233B13" w14:textId="730CDACA" w:rsidR="008C48CD" w:rsidRDefault="008C5ACD">
      <w:pPr>
        <w:tabs>
          <w:tab w:val="left" w:pos="1620"/>
          <w:tab w:val="left" w:pos="2835"/>
        </w:tabs>
        <w:ind w:firstLine="1620"/>
        <w:jc w:val="both"/>
      </w:pPr>
      <w:r>
        <w:t>Parágrafo Único.</w:t>
      </w:r>
      <w:r w:rsidR="00F866E1">
        <w:t xml:space="preserve"> Os Controladores Internos da UCCI deverão verificar as correspondências digitais recebidas e encaminhá-las aos setores correspondentes para as providências necessárias, observados os prazos determinados pelo TCE/MT.</w:t>
      </w:r>
    </w:p>
    <w:p w14:paraId="4D9E3932" w14:textId="77777777" w:rsidR="008C48CD" w:rsidRDefault="008C48CD">
      <w:pPr>
        <w:tabs>
          <w:tab w:val="left" w:pos="1620"/>
          <w:tab w:val="left" w:pos="2835"/>
        </w:tabs>
        <w:ind w:firstLine="1620"/>
        <w:jc w:val="both"/>
      </w:pPr>
    </w:p>
    <w:p w14:paraId="248863C7" w14:textId="77777777" w:rsidR="008C48CD" w:rsidRDefault="00F866E1">
      <w:pPr>
        <w:tabs>
          <w:tab w:val="left" w:pos="2835"/>
        </w:tabs>
        <w:ind w:firstLine="1620"/>
        <w:jc w:val="both"/>
      </w:pPr>
      <w:r>
        <w:t>Art. 2º Os Controladores Internos da UCCI designados na forma do art. 1º desta Portaria ficam responsáveis, na forma da Lei, por todas as ações, atos e obrigações decorrentes do exercício da competência atribuída.</w:t>
      </w:r>
    </w:p>
    <w:p w14:paraId="1F689F50" w14:textId="77777777" w:rsidR="008C48CD" w:rsidRDefault="008C48CD">
      <w:pPr>
        <w:tabs>
          <w:tab w:val="left" w:pos="2835"/>
        </w:tabs>
        <w:ind w:firstLine="1620"/>
        <w:jc w:val="both"/>
      </w:pPr>
    </w:p>
    <w:p w14:paraId="0BB4879F" w14:textId="77777777" w:rsidR="008C48CD" w:rsidRDefault="00F866E1">
      <w:pPr>
        <w:tabs>
          <w:tab w:val="left" w:pos="2835"/>
        </w:tabs>
        <w:ind w:firstLine="1620"/>
        <w:jc w:val="both"/>
      </w:pPr>
      <w:r>
        <w:t>Art. 3º Esta Portaria entra em vigor na data de sua publicação.</w:t>
      </w:r>
    </w:p>
    <w:p w14:paraId="27C3A426" w14:textId="77777777" w:rsidR="008C48CD" w:rsidRDefault="008C48CD">
      <w:pPr>
        <w:tabs>
          <w:tab w:val="left" w:pos="3119"/>
        </w:tabs>
        <w:ind w:firstLine="1620"/>
        <w:jc w:val="both"/>
      </w:pPr>
    </w:p>
    <w:p w14:paraId="319943A3" w14:textId="77777777" w:rsidR="008C48CD" w:rsidRDefault="008C48CD">
      <w:pPr>
        <w:tabs>
          <w:tab w:val="left" w:pos="3119"/>
        </w:tabs>
        <w:ind w:firstLine="1620"/>
        <w:jc w:val="both"/>
      </w:pPr>
    </w:p>
    <w:p w14:paraId="5FC49F40" w14:textId="77777777" w:rsidR="008C48CD" w:rsidRDefault="008C48CD">
      <w:pPr>
        <w:tabs>
          <w:tab w:val="left" w:pos="3119"/>
        </w:tabs>
        <w:ind w:firstLine="1620"/>
        <w:jc w:val="both"/>
      </w:pPr>
    </w:p>
    <w:p w14:paraId="151E4EB1" w14:textId="020E9034" w:rsidR="008C48CD" w:rsidRDefault="00F866E1">
      <w:pPr>
        <w:tabs>
          <w:tab w:val="left" w:pos="3119"/>
        </w:tabs>
        <w:ind w:firstLine="1620"/>
        <w:jc w:val="both"/>
      </w:pPr>
      <w:r>
        <w:t xml:space="preserve">Alto Araguaia, </w:t>
      </w:r>
      <w:r w:rsidR="008C5ACD">
        <w:t>01</w:t>
      </w:r>
      <w:r>
        <w:t xml:space="preserve"> de</w:t>
      </w:r>
      <w:r w:rsidR="008C5ACD">
        <w:t xml:space="preserve"> junho</w:t>
      </w:r>
      <w:r>
        <w:t xml:space="preserve"> de 202</w:t>
      </w:r>
      <w:r w:rsidR="008C5ACD">
        <w:t>6</w:t>
      </w:r>
      <w:r>
        <w:t>.</w:t>
      </w:r>
    </w:p>
    <w:p w14:paraId="46BD9A1E" w14:textId="77777777" w:rsidR="008C48CD" w:rsidRDefault="008C48CD">
      <w:pPr>
        <w:tabs>
          <w:tab w:val="left" w:pos="3119"/>
        </w:tabs>
        <w:jc w:val="both"/>
      </w:pPr>
    </w:p>
    <w:p w14:paraId="72CE451D" w14:textId="77777777" w:rsidR="008C48CD" w:rsidRDefault="008C48CD">
      <w:pPr>
        <w:tabs>
          <w:tab w:val="left" w:pos="3119"/>
        </w:tabs>
        <w:jc w:val="both"/>
      </w:pPr>
    </w:p>
    <w:p w14:paraId="6E3E7007" w14:textId="77777777" w:rsidR="008C48CD" w:rsidRDefault="008C48CD">
      <w:pPr>
        <w:tabs>
          <w:tab w:val="left" w:pos="3119"/>
        </w:tabs>
      </w:pPr>
    </w:p>
    <w:p w14:paraId="48702FCC" w14:textId="77777777" w:rsidR="008C5ACD" w:rsidRDefault="008C5ACD">
      <w:pPr>
        <w:tabs>
          <w:tab w:val="left" w:pos="3119"/>
        </w:tabs>
      </w:pPr>
    </w:p>
    <w:p w14:paraId="43388B16" w14:textId="77777777" w:rsidR="005E7649" w:rsidRPr="009C3300" w:rsidRDefault="005E7649" w:rsidP="005E7649"/>
    <w:p w14:paraId="6B3CB3F7" w14:textId="77777777" w:rsidR="005E7649" w:rsidRPr="009C3300" w:rsidRDefault="005E7649" w:rsidP="005E7649">
      <w:pPr>
        <w:jc w:val="center"/>
      </w:pPr>
      <w:r>
        <w:rPr>
          <w:b/>
          <w:bCs/>
        </w:rPr>
        <w:t>PAULO ROBERTO BERLIM PERES</w:t>
      </w:r>
    </w:p>
    <w:p w14:paraId="12D0F6EE" w14:textId="77777777" w:rsidR="005E7649" w:rsidRPr="009C3300" w:rsidRDefault="005E7649" w:rsidP="005E7649">
      <w:pPr>
        <w:jc w:val="center"/>
      </w:pPr>
      <w:r>
        <w:rPr>
          <w:b/>
          <w:bCs/>
        </w:rPr>
        <w:t>Secretário</w:t>
      </w:r>
      <w:r w:rsidRPr="009C3300">
        <w:rPr>
          <w:b/>
          <w:bCs/>
        </w:rPr>
        <w:t xml:space="preserve"> Municipal</w:t>
      </w:r>
      <w:r>
        <w:rPr>
          <w:b/>
          <w:bCs/>
        </w:rPr>
        <w:t xml:space="preserve"> de Administração, Indústria, Comércio e Serviços</w:t>
      </w:r>
    </w:p>
    <w:p w14:paraId="759DC706" w14:textId="77777777" w:rsidR="005E7649" w:rsidRPr="009C3300" w:rsidRDefault="005E7649" w:rsidP="005E7649"/>
    <w:p w14:paraId="40E924B8" w14:textId="77777777" w:rsidR="005E7649" w:rsidRPr="009C3300" w:rsidRDefault="005E7649" w:rsidP="005E7649"/>
    <w:p w14:paraId="58022A94" w14:textId="77777777" w:rsidR="008C48CD" w:rsidRDefault="008C48CD">
      <w:pPr>
        <w:ind w:left="4500"/>
        <w:jc w:val="center"/>
      </w:pPr>
    </w:p>
    <w:p w14:paraId="66286327" w14:textId="77777777" w:rsidR="008C48CD" w:rsidRDefault="008C48CD"/>
    <w:p w14:paraId="3670C4E2" w14:textId="77777777" w:rsidR="008C48CD" w:rsidRDefault="008C48CD"/>
    <w:sectPr w:rsidR="008C48CD" w:rsidSect="008C5ACD">
      <w:headerReference w:type="default" r:id="rId7"/>
      <w:pgSz w:w="11906" w:h="16838"/>
      <w:pgMar w:top="1701" w:right="1134" w:bottom="1134" w:left="1701" w:header="915" w:footer="22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F9A1" w14:textId="77777777" w:rsidR="00392558" w:rsidRDefault="00392558">
      <w:r>
        <w:separator/>
      </w:r>
    </w:p>
  </w:endnote>
  <w:endnote w:type="continuationSeparator" w:id="0">
    <w:p w14:paraId="54B9E272" w14:textId="77777777" w:rsidR="00392558" w:rsidRDefault="0039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985A1" w14:textId="77777777" w:rsidR="00392558" w:rsidRDefault="00392558">
      <w:r>
        <w:separator/>
      </w:r>
    </w:p>
  </w:footnote>
  <w:footnote w:type="continuationSeparator" w:id="0">
    <w:p w14:paraId="7CCF8F63" w14:textId="77777777" w:rsidR="00392558" w:rsidRDefault="00392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8339" w14:textId="77777777" w:rsidR="008C5ACD" w:rsidRPr="008C5ACD" w:rsidRDefault="008C5ACD" w:rsidP="008C5ACD">
    <w:pPr>
      <w:tabs>
        <w:tab w:val="center" w:pos="4252"/>
        <w:tab w:val="right" w:pos="8504"/>
      </w:tabs>
      <w:suppressAutoHyphens w:val="0"/>
      <w:ind w:left="1418" w:right="1841" w:hanging="425"/>
      <w:jc w:val="both"/>
      <w:rPr>
        <w:rFonts w:eastAsia="Calibri"/>
        <w:b/>
        <w:lang w:eastAsia="en-US"/>
      </w:rPr>
    </w:pPr>
    <w:r w:rsidRPr="008C5ACD">
      <w:rPr>
        <w:rFonts w:eastAsia="Calibri"/>
        <w:b/>
        <w:noProof/>
        <w:lang w:eastAsia="en-US"/>
      </w:rPr>
      <w:drawing>
        <wp:anchor distT="0" distB="0" distL="114300" distR="114300" simplePos="0" relativeHeight="251659264" behindDoc="0" locked="0" layoutInCell="1" allowOverlap="1" wp14:anchorId="5C87C577" wp14:editId="5FAF3B0C">
          <wp:simplePos x="0" y="0"/>
          <wp:positionH relativeFrom="column">
            <wp:posOffset>-213360</wp:posOffset>
          </wp:positionH>
          <wp:positionV relativeFrom="paragraph">
            <wp:posOffset>-198120</wp:posOffset>
          </wp:positionV>
          <wp:extent cx="763200" cy="759600"/>
          <wp:effectExtent l="0" t="0" r="0" b="2540"/>
          <wp:wrapNone/>
          <wp:docPr id="625398781" name="Imagem 625398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63200" cy="759600"/>
                  </a:xfrm>
                  <a:prstGeom prst="rect">
                    <a:avLst/>
                  </a:prstGeom>
                </pic:spPr>
              </pic:pic>
            </a:graphicData>
          </a:graphic>
          <wp14:sizeRelH relativeFrom="page">
            <wp14:pctWidth>0</wp14:pctWidth>
          </wp14:sizeRelH>
          <wp14:sizeRelV relativeFrom="page">
            <wp14:pctHeight>0</wp14:pctHeight>
          </wp14:sizeRelV>
        </wp:anchor>
      </w:drawing>
    </w:r>
    <w:r w:rsidRPr="008C5ACD">
      <w:rPr>
        <w:rFonts w:eastAsia="Calibri"/>
        <w:b/>
        <w:lang w:eastAsia="en-US"/>
      </w:rPr>
      <w:t>ESTADO DE MATO GROSSO</w:t>
    </w:r>
  </w:p>
  <w:p w14:paraId="5AB824FB" w14:textId="77777777" w:rsidR="008C5ACD" w:rsidRPr="008C5ACD" w:rsidRDefault="008C5ACD" w:rsidP="008C5ACD">
    <w:pPr>
      <w:tabs>
        <w:tab w:val="center" w:pos="4252"/>
        <w:tab w:val="right" w:pos="8504"/>
      </w:tabs>
      <w:suppressAutoHyphens w:val="0"/>
      <w:ind w:left="2268" w:right="991" w:hanging="1275"/>
      <w:jc w:val="both"/>
      <w:rPr>
        <w:rFonts w:eastAsia="Calibri"/>
        <w:b/>
        <w:lang w:eastAsia="en-US"/>
      </w:rPr>
    </w:pPr>
    <w:r w:rsidRPr="008C5ACD">
      <w:rPr>
        <w:rFonts w:eastAsia="Calibri"/>
        <w:b/>
        <w:lang w:eastAsia="en-US"/>
      </w:rPr>
      <w:t>PREFEITURA MUNICIPAL DE ALTO ARAGUAIA</w:t>
    </w:r>
  </w:p>
  <w:p w14:paraId="656F9403" w14:textId="77777777" w:rsidR="008C5ACD" w:rsidRPr="008C5ACD" w:rsidRDefault="008C5ACD" w:rsidP="008C5ACD">
    <w:pPr>
      <w:tabs>
        <w:tab w:val="center" w:pos="4252"/>
        <w:tab w:val="right" w:pos="8504"/>
      </w:tabs>
      <w:suppressAutoHyphens w:val="0"/>
      <w:ind w:left="2268" w:right="991" w:hanging="1275"/>
      <w:jc w:val="both"/>
      <w:rPr>
        <w:rFonts w:eastAsia="Calibri"/>
        <w:b/>
        <w:lang w:eastAsia="en-US"/>
      </w:rPr>
    </w:pPr>
    <w:r w:rsidRPr="008C5ACD">
      <w:rPr>
        <w:rFonts w:eastAsia="Calibri"/>
        <w:b/>
        <w:lang w:eastAsia="en-US"/>
      </w:rPr>
      <w:t>CNPJ: 03.579.836/0001-80</w:t>
    </w:r>
  </w:p>
  <w:p w14:paraId="048E2756" w14:textId="77777777" w:rsidR="008C5ACD" w:rsidRPr="008C5ACD" w:rsidRDefault="008C5ACD" w:rsidP="008C5ACD">
    <w:pPr>
      <w:tabs>
        <w:tab w:val="center" w:pos="4252"/>
        <w:tab w:val="right" w:pos="8504"/>
      </w:tabs>
      <w:suppressAutoHyphens w:val="0"/>
      <w:jc w:val="center"/>
      <w:rPr>
        <w:rFonts w:ascii="Calibri" w:eastAsia="Calibri" w:hAnsi="Calibri"/>
        <w:b/>
        <w:lang w:eastAsia="en-US"/>
      </w:rPr>
    </w:pPr>
    <w:r w:rsidRPr="008C5ACD">
      <w:rPr>
        <w:rFonts w:ascii="Calibri" w:eastAsia="Calibri" w:hAnsi="Calibri"/>
        <w:b/>
        <w:noProof/>
        <w:lang w:eastAsia="en-US"/>
      </w:rPr>
      <mc:AlternateContent>
        <mc:Choice Requires="wps">
          <w:drawing>
            <wp:anchor distT="0" distB="0" distL="114300" distR="114300" simplePos="0" relativeHeight="251660288" behindDoc="0" locked="0" layoutInCell="1" allowOverlap="1" wp14:anchorId="60792CE0" wp14:editId="23BB6E56">
              <wp:simplePos x="0" y="0"/>
              <wp:positionH relativeFrom="column">
                <wp:posOffset>-156210</wp:posOffset>
              </wp:positionH>
              <wp:positionV relativeFrom="paragraph">
                <wp:posOffset>83820</wp:posOffset>
              </wp:positionV>
              <wp:extent cx="5832475" cy="0"/>
              <wp:effectExtent l="0" t="0" r="0" b="0"/>
              <wp:wrapNone/>
              <wp:docPr id="6" name="Conector reto 6"/>
              <wp:cNvGraphicFramePr/>
              <a:graphic xmlns:a="http://schemas.openxmlformats.org/drawingml/2006/main">
                <a:graphicData uri="http://schemas.microsoft.com/office/word/2010/wordprocessingShape">
                  <wps:wsp>
                    <wps:cNvCnPr/>
                    <wps:spPr>
                      <a:xfrm>
                        <a:off x="0" y="0"/>
                        <a:ext cx="5832475" cy="0"/>
                      </a:xfrm>
                      <a:prstGeom prst="line">
                        <a:avLst/>
                      </a:prstGeom>
                      <a:noFill/>
                      <a:ln w="25400" cap="flat" cmpd="sng" algn="ctr">
                        <a:solidFill>
                          <a:srgbClr val="70AD47">
                            <a:lumMod val="75000"/>
                          </a:srgbClr>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27BA5CF2" id="Conector reto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pt,6.6pt" to="446.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" strokecolor="#548235"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00DD"/>
    <w:multiLevelType w:val="multilevel"/>
    <w:tmpl w:val="7410EABA"/>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CD"/>
    <w:rsid w:val="00392558"/>
    <w:rsid w:val="00584FA0"/>
    <w:rsid w:val="005E7649"/>
    <w:rsid w:val="005F61B3"/>
    <w:rsid w:val="008C48CD"/>
    <w:rsid w:val="008C5ACD"/>
    <w:rsid w:val="00CF41AB"/>
    <w:rsid w:val="00F866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40854"/>
  <w15:docId w15:val="{5FE123DF-F3AA-4D28-8509-7642A755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BR" w:bidi="ar-SA"/>
    </w:rPr>
  </w:style>
  <w:style w:type="paragraph" w:styleId="Ttulo1">
    <w:name w:val="heading 1"/>
    <w:basedOn w:val="Normal"/>
    <w:next w:val="Normal"/>
    <w:uiPriority w:val="9"/>
    <w:qFormat/>
    <w:pPr>
      <w:keepNext/>
      <w:numPr>
        <w:numId w:val="1"/>
      </w:numPr>
      <w:tabs>
        <w:tab w:val="left" w:pos="2340"/>
      </w:tabs>
      <w:jc w:val="center"/>
      <w:outlineLvl w:val="0"/>
    </w:pPr>
    <w:rPr>
      <w:b/>
      <w:bCs/>
      <w:color w:val="FF0000"/>
      <w:sz w:val="36"/>
      <w:u w:val="single"/>
      <w14:shadow w14:blurRad="50800" w14:dist="38100" w14:dir="2700000" w14:sx="100000" w14:sy="100000" w14:kx="0" w14:ky="0" w14:algn="tl">
        <w14:srgbClr w14:val="000000">
          <w14:alpha w14:val="60000"/>
        </w14:srgbClr>
      </w14:shadow>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Corpodetexto"/>
    <w:qFormat/>
    <w:pPr>
      <w:keepNext/>
      <w:spacing w:before="240" w:after="120"/>
    </w:pPr>
    <w:rPr>
      <w:rFonts w:ascii="Liberation Sans" w:eastAsia="Noto Sans CJK SC" w:hAnsi="Liberation Sans" w:cs="FreeSans"/>
      <w:sz w:val="28"/>
      <w:szCs w:val="28"/>
    </w:rPr>
  </w:style>
  <w:style w:type="paragraph" w:styleId="Corpodetexto">
    <w:name w:val="Body Text"/>
    <w:basedOn w:val="Normal"/>
    <w:pPr>
      <w:spacing w:after="140" w:line="276"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HeaderandFooter">
    <w:name w:val="Header and Footer"/>
    <w:basedOn w:val="Normal"/>
    <w:qFormat/>
    <w:pPr>
      <w:suppressLineNumbers/>
      <w:tabs>
        <w:tab w:val="center" w:pos="4819"/>
        <w:tab w:val="right" w:pos="9638"/>
      </w:tabs>
    </w:pPr>
  </w:style>
  <w:style w:type="paragraph" w:styleId="Cabealho">
    <w:name w:val="header"/>
    <w:basedOn w:val="Normal"/>
    <w:pPr>
      <w:tabs>
        <w:tab w:val="center" w:pos="4419"/>
        <w:tab w:val="right" w:pos="8838"/>
      </w:tabs>
    </w:pPr>
  </w:style>
  <w:style w:type="paragraph" w:styleId="Rodap">
    <w:name w:val="footer"/>
    <w:basedOn w:val="Normal"/>
    <w:pPr>
      <w:tabs>
        <w:tab w:val="center" w:pos="4252"/>
        <w:tab w:val="right" w:pos="8504"/>
      </w:tabs>
    </w:pPr>
  </w:style>
  <w:style w:type="paragraph" w:styleId="Textodebalo">
    <w:name w:val="Balloon Text"/>
    <w:basedOn w:val="Normal"/>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245</Words>
  <Characters>1324</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2026-06-01T19:40:00Z</dcterms:created>
  <dcterms:modified xsi:type="dcterms:W3CDTF">2026-06-10T17:45:00Z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2014-08-14T19:39:00Z</dcterms:created>
  <dc:creator>Prefaia</dc:creator>
  <dc:description/>
  <cp:keywords/>
  <dc:language>en-US</dc:language>
  <cp:lastModifiedBy>Max Control</cp:lastModifiedBy>
  <cp:lastPrinted>2014-08-14T16:42:00Z</cp:lastPrinted>
  <dcterms:modified xsi:type="dcterms:W3CDTF">2017-05-02T14:13:00Z</dcterms:modified>
  <cp:revision>7</cp:revision>
  <dc:subject/>
  <dc:title>PORTARIA Nº 004/2010</dc:title>
</cp:coreProperties>
</file>